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5D5EC9"/>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B054ED" w:rsidRPr="00B054ED">
        <w:rPr>
          <w:b/>
          <w:sz w:val="26"/>
          <w:szCs w:val="26"/>
        </w:rPr>
        <w:t xml:space="preserve">              </w:t>
      </w:r>
      <w:r w:rsidR="00717886" w:rsidRPr="00B054ED">
        <w:rPr>
          <w:b/>
          <w:sz w:val="26"/>
          <w:szCs w:val="26"/>
        </w:rPr>
        <w:t>«</w:t>
      </w:r>
      <w:r w:rsidR="003236D9" w:rsidRPr="00B054ED">
        <w:rPr>
          <w:b/>
          <w:sz w:val="26"/>
          <w:szCs w:val="26"/>
          <w:lang w:val="kk-KZ"/>
        </w:rPr>
        <w:t>02</w:t>
      </w:r>
      <w:r w:rsidR="0065790E" w:rsidRPr="00B054ED">
        <w:rPr>
          <w:b/>
          <w:sz w:val="26"/>
          <w:szCs w:val="26"/>
        </w:rPr>
        <w:t xml:space="preserve">» </w:t>
      </w:r>
      <w:r w:rsidR="003236D9" w:rsidRPr="00B054ED">
        <w:rPr>
          <w:b/>
          <w:sz w:val="26"/>
          <w:szCs w:val="26"/>
        </w:rPr>
        <w:t>июня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276"/>
        <w:gridCol w:w="1559"/>
      </w:tblGrid>
      <w:tr w:rsidR="00750079" w:rsidRPr="00B054ED"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613468" w:rsidP="00660B15">
            <w:pPr>
              <w:jc w:val="center"/>
              <w:rPr>
                <w:color w:val="000000"/>
              </w:rPr>
            </w:pPr>
          </w:p>
          <w:p w:rsidR="00613468" w:rsidRPr="00B054ED" w:rsidRDefault="00E8152D" w:rsidP="00660B15">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B054ED">
            <w:pPr>
              <w:rPr>
                <w:color w:val="000000"/>
                <w:lang w:val="kk-KZ"/>
              </w:rPr>
            </w:pPr>
            <w:r w:rsidRPr="00B054ED">
              <w:t>Тест-система ИФА для  выявления  антител к ВИЧ-1 и ВИЧ-2  в сухой капле крови (СКК), одноэтапный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4B492A" w:rsidP="00E8152D">
            <w:pPr>
              <w:jc w:val="center"/>
              <w:rPr>
                <w:color w:val="000000"/>
                <w:lang w:val="kk-KZ"/>
              </w:rPr>
            </w:pPr>
            <w:r>
              <w:rPr>
                <w:color w:val="000000"/>
                <w:lang w:val="kk-KZ"/>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4B492A" w:rsidP="0089271C">
            <w:pPr>
              <w:jc w:val="center"/>
              <w:rPr>
                <w:color w:val="000000"/>
                <w:lang w:val="kk-KZ"/>
              </w:rPr>
            </w:pPr>
            <w:r>
              <w:rPr>
                <w:color w:val="000000"/>
                <w:lang w:val="kk-KZ"/>
              </w:rPr>
              <w:t>44000</w:t>
            </w:r>
          </w:p>
        </w:tc>
      </w:tr>
      <w:tr w:rsidR="001B0A1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B054ED" w:rsidRDefault="00B054ED" w:rsidP="00660B15">
            <w:pPr>
              <w:jc w:val="center"/>
              <w:rPr>
                <w:color w:val="000000"/>
                <w:lang w:val="kk-KZ"/>
              </w:rPr>
            </w:pPr>
            <w:r w:rsidRPr="00B054ED">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крови (СКК), двухэтапный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034E92">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4B492A">
            <w:pPr>
              <w:jc w:val="center"/>
              <w:rPr>
                <w:color w:val="000000"/>
              </w:rPr>
            </w:pPr>
            <w:r w:rsidRPr="00B054ED">
              <w:rPr>
                <w:color w:val="000000"/>
              </w:rPr>
              <w:t>44000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color w:val="000000"/>
                <w:lang w:val="kk-KZ"/>
              </w:rPr>
            </w:pPr>
            <w:r w:rsidRPr="00B054ED">
              <w:rPr>
                <w:color w:val="000000"/>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pPr>
              <w:rPr>
                <w:lang w:val="kk-KZ"/>
              </w:rPr>
            </w:pPr>
            <w:r w:rsidRPr="00B054ED">
              <w:rPr>
                <w:lang w:val="kk-KZ"/>
              </w:rPr>
              <w:t xml:space="preserve">Тест-система иммуноферментная для определения суммарных антител (IgM+IgG) к Treponema pallidum, в сыворотке или плазме крови человека </w:t>
            </w:r>
            <w:r w:rsidRPr="00B054ED">
              <w:rPr>
                <w:b/>
                <w:bCs/>
                <w:lang w:val="kk-KZ"/>
              </w:rPr>
              <w:t xml:space="preserve">"ICE SYPHLIS" </w:t>
            </w:r>
            <w:r w:rsidRPr="00B054ED">
              <w:rPr>
                <w:lang w:val="kk-KZ"/>
              </w:rPr>
              <w:t xml:space="preserve">в коробке на 480 определений, DiaSorin S.p.A. -UK Branch </w:t>
            </w:r>
            <w:r w:rsidRPr="00B054ED">
              <w:rPr>
                <w:b/>
                <w:lang w:val="kk-KZ"/>
              </w:rPr>
              <w:t>Планшет с 96 лунками</w:t>
            </w:r>
            <w:r w:rsidRPr="00B054ED">
              <w:rPr>
                <w:lang w:val="kk-KZ"/>
              </w:rPr>
              <w:t xml:space="preserve">, которые покрыты смесью анти-человеческих IgG и IgM, а также рекомбинантным антигеном T.pallidum, </w:t>
            </w:r>
            <w:r w:rsidRPr="00B054ED">
              <w:rPr>
                <w:b/>
                <w:lang w:val="kk-KZ"/>
              </w:rPr>
              <w:t>5x96планшетов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249000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4B492A">
            <w:pPr>
              <w:jc w:val="center"/>
              <w:rPr>
                <w:color w:val="000000"/>
                <w:lang w:val="kk-KZ"/>
              </w:rPr>
            </w:pPr>
            <w:r w:rsidRPr="00B054ED">
              <w:rPr>
                <w:color w:val="000000"/>
                <w:lang w:val="kk-KZ"/>
              </w:rPr>
              <w:t>249000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color w:val="000000"/>
                <w:lang w:val="kk-KZ"/>
              </w:rPr>
            </w:pPr>
            <w:r w:rsidRPr="00B054ED">
              <w:rPr>
                <w:color w:val="000000"/>
                <w:lang w:val="kk-KZ"/>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xml:space="preserve">) белкам </w:t>
            </w:r>
            <w:r w:rsidRPr="00B054ED">
              <w:lastRenderedPageBreak/>
              <w:t>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034E92">
            <w:pPr>
              <w:jc w:val="center"/>
              <w:rPr>
                <w:color w:val="000000"/>
                <w:lang w:val="kk-KZ"/>
              </w:rPr>
            </w:pPr>
            <w:r w:rsidRPr="00B054ED">
              <w:rPr>
                <w:color w:val="000000"/>
                <w:lang w:val="kk-KZ"/>
              </w:rPr>
              <w:lastRenderedPageBreak/>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4B492A">
            <w:pPr>
              <w:jc w:val="center"/>
              <w:rPr>
                <w:color w:val="000000"/>
                <w:lang w:val="kk-KZ"/>
              </w:rPr>
            </w:pPr>
            <w:r w:rsidRPr="00B054ED">
              <w:rPr>
                <w:color w:val="000000"/>
                <w:lang w:val="kk-KZ"/>
              </w:rPr>
              <w:t>48000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4B492A" w:rsidP="00DF452C">
            <w:pPr>
              <w:jc w:val="right"/>
              <w:rPr>
                <w:b/>
                <w:color w:val="000000"/>
              </w:rPr>
            </w:pPr>
            <w:r>
              <w:rPr>
                <w:b/>
                <w:color w:val="000000"/>
              </w:rPr>
              <w:t xml:space="preserve"> 385 000,00 </w:t>
            </w:r>
            <w:r w:rsidR="00B054ED" w:rsidRPr="00B054ED">
              <w:rPr>
                <w:b/>
                <w:color w:val="000000"/>
              </w:rPr>
              <w:t>тенге</w:t>
            </w:r>
          </w:p>
        </w:tc>
      </w:tr>
    </w:tbl>
    <w:p w:rsidR="00ED2C2A" w:rsidRPr="00B054ED" w:rsidRDefault="00ED2C2A" w:rsidP="00DD587C">
      <w:pPr>
        <w:contextualSpacing/>
        <w:rPr>
          <w:b/>
        </w:rPr>
      </w:pPr>
    </w:p>
    <w:p w:rsidR="00B054ED" w:rsidRPr="00B054ED" w:rsidRDefault="00B054ED" w:rsidP="00B054ED">
      <w:pPr>
        <w:contextualSpacing/>
        <w:jc w:val="both"/>
        <w:rPr>
          <w:b/>
        </w:rPr>
      </w:pPr>
      <w:r w:rsidRPr="00B054ED">
        <w:rPr>
          <w:b/>
        </w:rPr>
        <w:t>Лот №1</w:t>
      </w:r>
    </w:p>
    <w:p w:rsidR="00B054ED" w:rsidRPr="00B054ED" w:rsidRDefault="00B054ED" w:rsidP="00B054ED">
      <w:pPr>
        <w:jc w:val="both"/>
      </w:pPr>
      <w:r w:rsidRPr="00B054ED">
        <w:rPr>
          <w:b/>
          <w:bCs/>
          <w:u w:val="single"/>
        </w:rPr>
        <w:t>Требуемая  техническая и качественная спецификация</w:t>
      </w:r>
      <w:r w:rsidRPr="00B054ED">
        <w:t xml:space="preserve">: </w:t>
      </w:r>
    </w:p>
    <w:p w:rsidR="00B054ED" w:rsidRPr="00B054ED" w:rsidRDefault="00B054ED" w:rsidP="00B054ED">
      <w:pPr>
        <w:jc w:val="both"/>
      </w:pPr>
      <w:r w:rsidRPr="00B054ED">
        <w:t xml:space="preserve">Набор реагентов для  выявления методом ИФА суммарных антител к ВИЧ-1, ВИЧ-2,  одноэтапный вариант </w:t>
      </w:r>
    </w:p>
    <w:p w:rsidR="00B054ED" w:rsidRPr="00B054ED" w:rsidRDefault="00B054ED" w:rsidP="00B054ED">
      <w:pPr>
        <w:jc w:val="both"/>
      </w:pPr>
      <w:r w:rsidRPr="00B054ED">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B054ED" w:rsidRPr="00B054ED" w:rsidRDefault="00B054ED" w:rsidP="00B054ED">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B054ED" w:rsidRPr="00B054ED" w:rsidRDefault="00B054ED" w:rsidP="00B054ED">
      <w:pPr>
        <w:jc w:val="both"/>
      </w:pPr>
      <w:r w:rsidRPr="00B054ED">
        <w:t>Чувствительность по антителам к ВИЧ-1 -  100%</w:t>
      </w:r>
    </w:p>
    <w:p w:rsidR="00B054ED" w:rsidRPr="00B054ED" w:rsidRDefault="00B054ED" w:rsidP="00B054ED">
      <w:pPr>
        <w:jc w:val="both"/>
      </w:pPr>
      <w:r w:rsidRPr="00B054ED">
        <w:t>Чувствительность по антителам к ВИЧ-2 -  100%</w:t>
      </w:r>
    </w:p>
    <w:p w:rsidR="00B054ED" w:rsidRPr="00B054ED" w:rsidRDefault="00B054ED" w:rsidP="00B054ED">
      <w:pPr>
        <w:jc w:val="both"/>
      </w:pPr>
      <w:r w:rsidRPr="00B054ED">
        <w:t>Специфичность  по антителам к ВИЧ-1, ВИЧ-2 - 100%</w:t>
      </w: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Лот №2</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r w:rsidRPr="00B054ED">
        <w:t>,(</w:t>
      </w:r>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№3</w:t>
      </w:r>
    </w:p>
    <w:p w:rsidR="00B054ED" w:rsidRPr="00B054ED" w:rsidRDefault="00B054ED" w:rsidP="00B054ED">
      <w:pPr>
        <w:contextualSpacing/>
        <w:jc w:val="both"/>
        <w:rPr>
          <w:b/>
        </w:rPr>
      </w:pPr>
      <w:r w:rsidRPr="00B054ED">
        <w:rPr>
          <w:lang w:val="kk-KZ"/>
        </w:rPr>
        <w:t xml:space="preserve">Тест-система иммуноферментная для определения суммарных антител (IgM+IgG) к Treponema pallidum, в сыворотке или плазме крови человека </w:t>
      </w:r>
      <w:r w:rsidRPr="00B054ED">
        <w:rPr>
          <w:b/>
          <w:bCs/>
          <w:lang w:val="kk-KZ"/>
        </w:rPr>
        <w:t xml:space="preserve">"ICE SYPHLIS" </w:t>
      </w:r>
      <w:r w:rsidRPr="00B054ED">
        <w:rPr>
          <w:lang w:val="kk-KZ"/>
        </w:rPr>
        <w:t xml:space="preserve">в коробке </w:t>
      </w:r>
      <w:r w:rsidRPr="00B054ED">
        <w:rPr>
          <w:lang w:val="kk-KZ"/>
        </w:rPr>
        <w:lastRenderedPageBreak/>
        <w:t xml:space="preserve">на 480 определений, DiaSorin S.p.A. -UK Branch </w:t>
      </w:r>
      <w:r w:rsidRPr="00B054ED">
        <w:rPr>
          <w:b/>
          <w:lang w:val="kk-KZ"/>
        </w:rPr>
        <w:t>Планшет с 96 лунками</w:t>
      </w:r>
      <w:r w:rsidRPr="00B054ED">
        <w:rPr>
          <w:lang w:val="kk-KZ"/>
        </w:rPr>
        <w:t xml:space="preserve">, которые покрыты смесью анти-человеческих IgG и IgM, а также рекомбинантным антигеном T.pallidum, </w:t>
      </w:r>
      <w:r w:rsidRPr="00B054ED">
        <w:rPr>
          <w:b/>
          <w:lang w:val="kk-KZ"/>
        </w:rPr>
        <w:t>5x96планшетов</w:t>
      </w: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№4</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5C72DA" w:rsidRDefault="00B054ED" w:rsidP="00DD587C">
      <w:pPr>
        <w:contextualSpacing/>
        <w:rPr>
          <w:b/>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12</w:t>
      </w:r>
      <w:r w:rsidRPr="004A67F6">
        <w:rPr>
          <w:sz w:val="26"/>
          <w:szCs w:val="26"/>
        </w:rPr>
        <w:t xml:space="preserve"> часов 00 минут, «</w:t>
      </w:r>
      <w:r w:rsidR="00A6730A">
        <w:rPr>
          <w:sz w:val="26"/>
          <w:szCs w:val="26"/>
        </w:rPr>
        <w:t>09</w:t>
      </w:r>
      <w:r w:rsidRPr="004A67F6">
        <w:rPr>
          <w:sz w:val="26"/>
          <w:szCs w:val="26"/>
        </w:rPr>
        <w:t>»</w:t>
      </w:r>
      <w:r w:rsidR="00A6730A">
        <w:rPr>
          <w:sz w:val="26"/>
          <w:szCs w:val="26"/>
        </w:rPr>
        <w:t xml:space="preserve"> июн</w:t>
      </w:r>
      <w:r w:rsidR="0042530C">
        <w:rPr>
          <w:sz w:val="26"/>
          <w:szCs w:val="26"/>
        </w:rPr>
        <w:t>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A6730A">
        <w:rPr>
          <w:sz w:val="26"/>
          <w:szCs w:val="26"/>
        </w:rPr>
        <w:t>09</w:t>
      </w:r>
      <w:r w:rsidR="00B541BC" w:rsidRPr="004A67F6">
        <w:rPr>
          <w:sz w:val="26"/>
          <w:szCs w:val="26"/>
        </w:rPr>
        <w:t>»</w:t>
      </w:r>
      <w:r w:rsidR="004160CF" w:rsidRPr="004A67F6">
        <w:rPr>
          <w:sz w:val="26"/>
          <w:szCs w:val="26"/>
        </w:rPr>
        <w:t xml:space="preserve"> </w:t>
      </w:r>
      <w:r w:rsidR="00A6730A">
        <w:rPr>
          <w:sz w:val="26"/>
          <w:szCs w:val="26"/>
        </w:rPr>
        <w:t>июн</w:t>
      </w:r>
      <w:r w:rsidR="0042530C">
        <w:rPr>
          <w:sz w:val="26"/>
          <w:szCs w:val="26"/>
        </w:rPr>
        <w:t>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14</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853EF9" w:rsidRPr="00A6730A">
        <w:rPr>
          <w:b/>
          <w:sz w:val="26"/>
          <w:szCs w:val="26"/>
          <w:lang w:val="kk-KZ"/>
        </w:rPr>
        <w:t xml:space="preserve">         </w:t>
      </w:r>
      <w:r w:rsidRPr="00A6730A">
        <w:rPr>
          <w:b/>
          <w:sz w:val="26"/>
          <w:szCs w:val="26"/>
          <w:lang w:val="kk-KZ"/>
        </w:rPr>
        <w:t>«</w:t>
      </w:r>
      <w:r w:rsidR="00A6730A" w:rsidRPr="00A6730A">
        <w:rPr>
          <w:b/>
          <w:sz w:val="26"/>
          <w:szCs w:val="26"/>
          <w:lang w:val="kk-KZ"/>
        </w:rPr>
        <w:t>02</w:t>
      </w:r>
      <w:r w:rsidR="00E95012" w:rsidRPr="00A6730A">
        <w:rPr>
          <w:b/>
          <w:sz w:val="26"/>
          <w:szCs w:val="26"/>
          <w:lang w:val="kk-KZ"/>
        </w:rPr>
        <w:t>»</w:t>
      </w:r>
      <w:r w:rsidRPr="00A6730A">
        <w:rPr>
          <w:b/>
          <w:sz w:val="26"/>
          <w:szCs w:val="26"/>
          <w:lang w:val="kk-KZ"/>
        </w:rPr>
        <w:t xml:space="preserve"> </w:t>
      </w:r>
      <w:r w:rsidR="00A6730A" w:rsidRPr="00A6730A">
        <w:rPr>
          <w:b/>
          <w:sz w:val="26"/>
          <w:szCs w:val="26"/>
          <w:lang w:val="kk-KZ"/>
        </w:rPr>
        <w:t>июня</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rPr>
            </w:pPr>
          </w:p>
          <w:p w:rsidR="00A6730A" w:rsidRPr="00B054ED" w:rsidRDefault="00A6730A" w:rsidP="00DF452C">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pPr>
              <w:rPr>
                <w:color w:val="000000"/>
                <w:lang w:val="kk-KZ"/>
              </w:rPr>
            </w:pPr>
            <w:r w:rsidRPr="00B054ED">
              <w:t>Тест-система ИФА для  выявления  антител к ВИЧ-1 и ВИЧ-2  в сухой капле крови (СКК), одноэтапный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4B492A" w:rsidP="00DF452C">
            <w:pPr>
              <w:jc w:val="center"/>
              <w:rPr>
                <w:color w:val="000000"/>
                <w:lang w:val="kk-KZ"/>
              </w:rPr>
            </w:pPr>
            <w:r>
              <w:rPr>
                <w:color w:val="000000"/>
                <w:lang w:val="kk-KZ"/>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4B492A" w:rsidP="00DF452C">
            <w:pPr>
              <w:jc w:val="center"/>
              <w:rPr>
                <w:color w:val="000000"/>
                <w:lang w:val="kk-KZ"/>
              </w:rPr>
            </w:pPr>
            <w:r>
              <w:rPr>
                <w:color w:val="000000"/>
                <w:lang w:val="kk-KZ"/>
              </w:rPr>
              <w:t>44000</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lang w:val="kk-KZ"/>
              </w:rPr>
            </w:pPr>
            <w:r w:rsidRPr="00B054ED">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крови (СКК),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4B492A">
            <w:pPr>
              <w:jc w:val="center"/>
              <w:rPr>
                <w:color w:val="000000"/>
              </w:rPr>
            </w:pPr>
            <w:r w:rsidRPr="00B054ED">
              <w:rPr>
                <w:color w:val="000000"/>
              </w:rPr>
              <w:t>44000</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lang w:val="kk-KZ"/>
              </w:rPr>
            </w:pPr>
            <w:r w:rsidRPr="00B054ED">
              <w:rPr>
                <w:color w:val="000000"/>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pPr>
              <w:rPr>
                <w:lang w:val="kk-KZ"/>
              </w:rPr>
            </w:pPr>
            <w:r w:rsidRPr="00B054ED">
              <w:rPr>
                <w:lang w:val="kk-KZ"/>
              </w:rPr>
              <w:t xml:space="preserve">Тест-система иммуноферментная для определения суммарных антител (IgM+IgG) к Treponema pallidum, в сыворотке или плазме крови человека </w:t>
            </w:r>
            <w:r w:rsidRPr="00B054ED">
              <w:rPr>
                <w:b/>
                <w:bCs/>
                <w:lang w:val="kk-KZ"/>
              </w:rPr>
              <w:t xml:space="preserve">"ICE SYPHLIS" </w:t>
            </w:r>
            <w:r w:rsidRPr="00B054ED">
              <w:rPr>
                <w:lang w:val="kk-KZ"/>
              </w:rPr>
              <w:t xml:space="preserve">в коробке на 480 определений, DiaSorin S.p.A. -UK Branch </w:t>
            </w:r>
            <w:r w:rsidRPr="00B054ED">
              <w:rPr>
                <w:b/>
                <w:lang w:val="kk-KZ"/>
              </w:rPr>
              <w:t>Планшет с 96 лунками</w:t>
            </w:r>
            <w:r w:rsidRPr="00B054ED">
              <w:rPr>
                <w:lang w:val="kk-KZ"/>
              </w:rPr>
              <w:t xml:space="preserve">, которые покрыты смесью анти-человеческих IgG и IgM, а также рекомбинантным антигеном T.pallidum, </w:t>
            </w:r>
            <w:r w:rsidRPr="00B054ED">
              <w:rPr>
                <w:b/>
                <w:lang w:val="kk-KZ"/>
              </w:rPr>
              <w:t>5x96планшетов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249000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4B492A">
            <w:pPr>
              <w:jc w:val="center"/>
              <w:rPr>
                <w:color w:val="000000"/>
                <w:lang w:val="kk-KZ"/>
              </w:rPr>
            </w:pPr>
            <w:r w:rsidRPr="00B054ED">
              <w:rPr>
                <w:color w:val="000000"/>
                <w:lang w:val="kk-KZ"/>
              </w:rPr>
              <w:t>249000</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lang w:val="kk-KZ"/>
              </w:rPr>
            </w:pPr>
            <w:r w:rsidRPr="00B054ED">
              <w:rPr>
                <w:color w:val="000000"/>
                <w:lang w:val="kk-KZ"/>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24000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4B492A">
            <w:pPr>
              <w:jc w:val="center"/>
              <w:rPr>
                <w:color w:val="000000"/>
                <w:lang w:val="kk-KZ"/>
              </w:rPr>
            </w:pPr>
            <w:r w:rsidRPr="00B054ED">
              <w:rPr>
                <w:color w:val="000000"/>
                <w:lang w:val="kk-KZ"/>
              </w:rPr>
              <w:t>48000</w:t>
            </w:r>
          </w:p>
        </w:tc>
      </w:tr>
      <w:tr w:rsidR="00F0774A"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F0774A" w:rsidRPr="001B0A1D" w:rsidRDefault="00F0774A"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E31032" w:rsidP="00C150CA">
            <w:pPr>
              <w:rPr>
                <w:b/>
                <w:color w:val="000000"/>
                <w:sz w:val="25"/>
                <w:szCs w:val="25"/>
              </w:rPr>
            </w:pPr>
            <w:r>
              <w:rPr>
                <w:b/>
                <w:color w:val="000000"/>
                <w:sz w:val="25"/>
                <w:szCs w:val="25"/>
                <w:lang w:val="kk-KZ"/>
              </w:rPr>
              <w:t>Қорытындысы</w:t>
            </w:r>
            <w:r w:rsidR="00F0774A" w:rsidRPr="001B0A1D">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4B492A" w:rsidP="00C150CA">
            <w:pPr>
              <w:jc w:val="right"/>
              <w:rPr>
                <w:b/>
                <w:color w:val="000000"/>
                <w:sz w:val="25"/>
                <w:szCs w:val="25"/>
              </w:rPr>
            </w:pPr>
            <w:r>
              <w:rPr>
                <w:b/>
                <w:color w:val="000000"/>
                <w:sz w:val="25"/>
                <w:szCs w:val="25"/>
              </w:rPr>
              <w:t xml:space="preserve">385 000,00 </w:t>
            </w:r>
            <w:r w:rsidR="00F0774A">
              <w:rPr>
                <w:b/>
                <w:color w:val="000000"/>
                <w:sz w:val="25"/>
                <w:szCs w:val="25"/>
              </w:rPr>
              <w:t>тенге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lastRenderedPageBreak/>
        <w:tab/>
        <w:t>Әлеуетті өнім берушілердің баға ұсыныстары «</w:t>
      </w:r>
      <w:r w:rsidR="00A6730A">
        <w:rPr>
          <w:sz w:val="26"/>
          <w:szCs w:val="26"/>
          <w:lang w:val="kk-KZ"/>
        </w:rPr>
        <w:t>09</w:t>
      </w:r>
      <w:r w:rsidRPr="004A67F6">
        <w:rPr>
          <w:sz w:val="26"/>
          <w:szCs w:val="26"/>
          <w:lang w:val="kk-KZ"/>
        </w:rPr>
        <w:t xml:space="preserve">» </w:t>
      </w:r>
      <w:r w:rsidR="00E31032">
        <w:rPr>
          <w:sz w:val="26"/>
          <w:szCs w:val="26"/>
          <w:lang w:val="kk-KZ"/>
        </w:rPr>
        <w:t>ма</w:t>
      </w:r>
      <w:r w:rsidR="004B492A">
        <w:rPr>
          <w:sz w:val="26"/>
          <w:szCs w:val="26"/>
          <w:lang w:val="kk-KZ"/>
        </w:rPr>
        <w:t>усым</w:t>
      </w:r>
      <w:bookmarkStart w:id="1" w:name="_GoBack"/>
      <w:bookmarkEnd w:id="1"/>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12</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A6730A">
        <w:rPr>
          <w:rFonts w:ascii="Times New Roman" w:hAnsi="Times New Roman" w:cs="Times New Roman"/>
          <w:sz w:val="26"/>
          <w:szCs w:val="26"/>
          <w:lang w:val="kk-KZ"/>
        </w:rPr>
        <w:t>09</w:t>
      </w:r>
      <w:r w:rsidR="003612A9" w:rsidRPr="0078290A">
        <w:rPr>
          <w:rFonts w:ascii="Times New Roman" w:hAnsi="Times New Roman" w:cs="Times New Roman"/>
          <w:sz w:val="26"/>
          <w:szCs w:val="26"/>
          <w:lang w:val="kk-KZ"/>
        </w:rPr>
        <w:t xml:space="preserve">» </w:t>
      </w:r>
      <w:r w:rsidR="00E31032">
        <w:rPr>
          <w:rFonts w:ascii="Times New Roman" w:hAnsi="Times New Roman" w:cs="Times New Roman"/>
          <w:sz w:val="26"/>
          <w:szCs w:val="26"/>
          <w:lang w:val="kk-KZ"/>
        </w:rPr>
        <w:t>ма</w:t>
      </w:r>
      <w:r w:rsidR="00A6730A">
        <w:rPr>
          <w:rFonts w:ascii="Times New Roman" w:hAnsi="Times New Roman" w:cs="Times New Roman"/>
          <w:sz w:val="26"/>
          <w:szCs w:val="26"/>
          <w:lang w:val="kk-KZ"/>
        </w:rPr>
        <w:t>усым</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A6730A">
        <w:rPr>
          <w:rFonts w:ascii="Times New Roman" w:hAnsi="Times New Roman" w:cs="Times New Roman"/>
          <w:sz w:val="26"/>
          <w:szCs w:val="26"/>
          <w:lang w:val="kk-KZ"/>
        </w:rPr>
        <w:t>4</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4A" w:rsidRDefault="0029674A" w:rsidP="00A8358D">
      <w:r>
        <w:separator/>
      </w:r>
    </w:p>
  </w:endnote>
  <w:endnote w:type="continuationSeparator" w:id="0">
    <w:p w:rsidR="0029674A" w:rsidRDefault="0029674A"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4A" w:rsidRDefault="0029674A" w:rsidP="00A8358D">
      <w:r>
        <w:separator/>
      </w:r>
    </w:p>
  </w:footnote>
  <w:footnote w:type="continuationSeparator" w:id="0">
    <w:p w:rsidR="0029674A" w:rsidRDefault="0029674A"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9674A"/>
    <w:rsid w:val="002A3191"/>
    <w:rsid w:val="002B2A71"/>
    <w:rsid w:val="002B7672"/>
    <w:rsid w:val="002C4020"/>
    <w:rsid w:val="002C5580"/>
    <w:rsid w:val="002C6C12"/>
    <w:rsid w:val="003055D5"/>
    <w:rsid w:val="0030792F"/>
    <w:rsid w:val="003079E2"/>
    <w:rsid w:val="00311672"/>
    <w:rsid w:val="00313CCC"/>
    <w:rsid w:val="00315A84"/>
    <w:rsid w:val="0031654E"/>
    <w:rsid w:val="003236D9"/>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828EB"/>
    <w:rsid w:val="00486707"/>
    <w:rsid w:val="004A35EF"/>
    <w:rsid w:val="004A67F6"/>
    <w:rsid w:val="004A7DC0"/>
    <w:rsid w:val="004B3214"/>
    <w:rsid w:val="004B492A"/>
    <w:rsid w:val="004B53BA"/>
    <w:rsid w:val="004B7545"/>
    <w:rsid w:val="004C559F"/>
    <w:rsid w:val="004D1546"/>
    <w:rsid w:val="00511358"/>
    <w:rsid w:val="00513403"/>
    <w:rsid w:val="00517C1E"/>
    <w:rsid w:val="00532701"/>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E8D"/>
    <w:rsid w:val="008D3F76"/>
    <w:rsid w:val="008D7764"/>
    <w:rsid w:val="008E1D0B"/>
    <w:rsid w:val="008F0D18"/>
    <w:rsid w:val="00903086"/>
    <w:rsid w:val="0090348A"/>
    <w:rsid w:val="00913D44"/>
    <w:rsid w:val="009161D1"/>
    <w:rsid w:val="00930662"/>
    <w:rsid w:val="00933E7A"/>
    <w:rsid w:val="00937A3E"/>
    <w:rsid w:val="00941046"/>
    <w:rsid w:val="00950A52"/>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358D"/>
    <w:rsid w:val="00AB173C"/>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14990</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11</cp:revision>
  <cp:lastPrinted>2020-05-11T09:38:00Z</cp:lastPrinted>
  <dcterms:created xsi:type="dcterms:W3CDTF">2020-04-14T09:14:00Z</dcterms:created>
  <dcterms:modified xsi:type="dcterms:W3CDTF">2020-06-02T11:15:00Z</dcterms:modified>
</cp:coreProperties>
</file>